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1F4" w:rsidRPr="00462DE0" w:rsidRDefault="00D83880">
      <w:pPr>
        <w:ind w:left="3140"/>
        <w:rPr>
          <w:rFonts w:ascii="Verdana" w:hAnsi="Verdana"/>
        </w:rPr>
      </w:pPr>
      <w:bookmarkStart w:id="0" w:name="page1"/>
      <w:bookmarkEnd w:id="0"/>
      <w:r w:rsidRPr="00462DE0">
        <w:rPr>
          <w:rFonts w:ascii="Verdana" w:eastAsia="Arial" w:hAnsi="Verdana" w:cs="Arial"/>
          <w:b/>
          <w:bCs/>
          <w:u w:val="single"/>
        </w:rPr>
        <w:t>Technical Bid Corrigendum-1:</w:t>
      </w:r>
    </w:p>
    <w:p w:rsidR="00A151F4" w:rsidRPr="00462DE0" w:rsidRDefault="00A151F4">
      <w:pPr>
        <w:spacing w:line="246" w:lineRule="exact"/>
        <w:rPr>
          <w:rFonts w:ascii="Verdana" w:hAnsi="Verdana"/>
        </w:rPr>
      </w:pPr>
    </w:p>
    <w:p w:rsidR="00A151F4" w:rsidRPr="00462DE0" w:rsidRDefault="007244BC">
      <w:pPr>
        <w:ind w:left="280"/>
        <w:rPr>
          <w:rFonts w:ascii="Verdana" w:hAnsi="Verdana"/>
        </w:rPr>
      </w:pPr>
      <w:r w:rsidRPr="00462DE0">
        <w:rPr>
          <w:rFonts w:ascii="Verdana" w:eastAsia="Arial" w:hAnsi="Verdana" w:cs="Arial"/>
          <w:b/>
          <w:bCs/>
        </w:rPr>
        <w:t>Tender ID: 2019_DREV_460613</w:t>
      </w:r>
      <w:r w:rsidR="00D83880" w:rsidRPr="00462DE0">
        <w:rPr>
          <w:rFonts w:ascii="Verdana" w:eastAsia="Arial" w:hAnsi="Verdana" w:cs="Arial"/>
          <w:b/>
          <w:bCs/>
        </w:rPr>
        <w:t>_1</w:t>
      </w:r>
    </w:p>
    <w:p w:rsidR="00A151F4" w:rsidRPr="00462DE0" w:rsidRDefault="00A151F4">
      <w:pPr>
        <w:spacing w:line="246" w:lineRule="exact"/>
        <w:rPr>
          <w:rFonts w:ascii="Verdana" w:hAnsi="Verdana"/>
        </w:rPr>
      </w:pPr>
    </w:p>
    <w:p w:rsidR="007244BC" w:rsidRPr="00462DE0" w:rsidRDefault="00D83880">
      <w:pPr>
        <w:spacing w:line="435" w:lineRule="auto"/>
        <w:ind w:left="620" w:right="520" w:hanging="342"/>
        <w:rPr>
          <w:rFonts w:ascii="Verdana" w:eastAsia="Arial" w:hAnsi="Verdana" w:cs="Arial"/>
          <w:b/>
          <w:bCs/>
        </w:rPr>
      </w:pPr>
      <w:r w:rsidRPr="00462DE0">
        <w:rPr>
          <w:rFonts w:ascii="Verdana" w:eastAsia="Arial" w:hAnsi="Verdana" w:cs="Arial"/>
          <w:b/>
          <w:bCs/>
        </w:rPr>
        <w:t>C. No: I</w:t>
      </w:r>
      <w:r w:rsidR="007244BC" w:rsidRPr="00462DE0">
        <w:rPr>
          <w:rFonts w:ascii="Verdana" w:eastAsia="Arial" w:hAnsi="Verdana" w:cs="Arial"/>
          <w:b/>
          <w:bCs/>
        </w:rPr>
        <w:t>V/16</w:t>
      </w:r>
      <w:r w:rsidRPr="00462DE0">
        <w:rPr>
          <w:rFonts w:ascii="Verdana" w:eastAsia="Arial" w:hAnsi="Verdana" w:cs="Arial"/>
          <w:b/>
          <w:bCs/>
        </w:rPr>
        <w:t>/</w:t>
      </w:r>
      <w:r w:rsidR="007244BC" w:rsidRPr="00462DE0">
        <w:rPr>
          <w:rFonts w:ascii="Verdana" w:eastAsia="Arial" w:hAnsi="Verdana" w:cs="Arial"/>
          <w:b/>
          <w:bCs/>
        </w:rPr>
        <w:t>06/2019</w:t>
      </w:r>
      <w:r w:rsidRPr="00462DE0">
        <w:rPr>
          <w:rFonts w:ascii="Verdana" w:eastAsia="Arial" w:hAnsi="Verdana" w:cs="Arial"/>
          <w:b/>
          <w:bCs/>
        </w:rPr>
        <w:t>-</w:t>
      </w:r>
      <w:r w:rsidR="007244BC" w:rsidRPr="00462DE0">
        <w:rPr>
          <w:rFonts w:ascii="Verdana" w:eastAsia="Arial" w:hAnsi="Verdana" w:cs="Arial"/>
          <w:b/>
          <w:bCs/>
        </w:rPr>
        <w:t>COMP</w:t>
      </w:r>
      <w:r w:rsidRPr="00462DE0">
        <w:rPr>
          <w:rFonts w:ascii="Verdana" w:hAnsi="Verdana"/>
        </w:rPr>
        <w:t xml:space="preserve"> </w:t>
      </w:r>
      <w:r w:rsidR="007244BC" w:rsidRPr="00462DE0">
        <w:rPr>
          <w:rFonts w:ascii="Verdana" w:eastAsia="Arial" w:hAnsi="Verdana" w:cs="Arial"/>
          <w:b/>
          <w:bCs/>
        </w:rPr>
        <w:t>Dt.02.04</w:t>
      </w:r>
      <w:r w:rsidRPr="00462DE0">
        <w:rPr>
          <w:rFonts w:ascii="Verdana" w:eastAsia="Arial" w:hAnsi="Verdana" w:cs="Arial"/>
          <w:b/>
          <w:bCs/>
        </w:rPr>
        <w:t xml:space="preserve">.2019 </w:t>
      </w:r>
    </w:p>
    <w:p w:rsidR="00A151F4" w:rsidRPr="00462DE0" w:rsidRDefault="00D83880">
      <w:pPr>
        <w:spacing w:line="435" w:lineRule="auto"/>
        <w:ind w:left="620" w:right="520" w:hanging="342"/>
        <w:rPr>
          <w:rFonts w:ascii="Verdana" w:hAnsi="Verdana"/>
        </w:rPr>
      </w:pPr>
      <w:r w:rsidRPr="00462DE0">
        <w:rPr>
          <w:rFonts w:ascii="Verdana" w:eastAsia="Arial" w:hAnsi="Verdana" w:cs="Arial"/>
          <w:b/>
          <w:bCs/>
          <w:u w:val="single"/>
        </w:rPr>
        <w:t>NOTICE INVITING</w:t>
      </w:r>
      <w:r w:rsidR="007244BC" w:rsidRPr="00462DE0">
        <w:rPr>
          <w:rFonts w:ascii="Verdana" w:eastAsia="Arial" w:hAnsi="Verdana" w:cs="Arial"/>
          <w:b/>
          <w:bCs/>
          <w:u w:val="single"/>
        </w:rPr>
        <w:t xml:space="preserve"> e-TENDER FOR COMPREHENSIVE ANNUAL MAINTENANCE CONTRACT OF COMPUTERS, LAPTOPS, PRINTERS AND IT PERIPHERALS</w:t>
      </w:r>
      <w:r w:rsidRPr="00462DE0">
        <w:rPr>
          <w:rFonts w:ascii="Verdana" w:eastAsia="Arial" w:hAnsi="Verdana" w:cs="Arial"/>
          <w:b/>
          <w:bCs/>
          <w:u w:val="single"/>
        </w:rPr>
        <w:t xml:space="preserve"> (2019-20)</w:t>
      </w:r>
    </w:p>
    <w:p w:rsidR="00A151F4" w:rsidRPr="00462DE0" w:rsidRDefault="00A151F4">
      <w:pPr>
        <w:spacing w:line="1" w:lineRule="exact"/>
        <w:rPr>
          <w:rFonts w:ascii="Verdana" w:hAnsi="Verdana"/>
        </w:rPr>
      </w:pPr>
    </w:p>
    <w:p w:rsidR="00A151F4" w:rsidRPr="00462DE0" w:rsidRDefault="007244BC">
      <w:pPr>
        <w:ind w:left="280"/>
        <w:rPr>
          <w:rFonts w:ascii="Verdana" w:hAnsi="Verdana"/>
        </w:rPr>
      </w:pPr>
      <w:r w:rsidRPr="00462DE0">
        <w:rPr>
          <w:rFonts w:ascii="Verdana" w:eastAsia="Arial" w:hAnsi="Verdana" w:cs="Arial"/>
          <w:b/>
          <w:bCs/>
        </w:rPr>
        <w:t>A) Under Annexure-III</w:t>
      </w:r>
    </w:p>
    <w:p w:rsidR="00A151F4" w:rsidRPr="00462DE0" w:rsidRDefault="00A151F4">
      <w:pPr>
        <w:spacing w:line="241" w:lineRule="exact"/>
        <w:rPr>
          <w:rFonts w:ascii="Verdana" w:hAnsi="Verdana"/>
        </w:rPr>
      </w:pPr>
    </w:p>
    <w:p w:rsidR="00A151F4" w:rsidRPr="00462DE0" w:rsidRDefault="00D83880">
      <w:pPr>
        <w:ind w:left="280"/>
        <w:rPr>
          <w:rFonts w:ascii="Verdana" w:eastAsia="Arial" w:hAnsi="Verdana" w:cs="Arial"/>
          <w:b/>
          <w:bCs/>
        </w:rPr>
      </w:pPr>
      <w:r w:rsidRPr="00462DE0">
        <w:rPr>
          <w:rFonts w:ascii="Verdana" w:eastAsia="Arial" w:hAnsi="Verdana" w:cs="Arial"/>
          <w:b/>
          <w:bCs/>
        </w:rPr>
        <w:t>FOR</w:t>
      </w:r>
      <w:r w:rsidR="00DF7368" w:rsidRPr="00462DE0">
        <w:rPr>
          <w:rFonts w:ascii="Verdana" w:eastAsia="Arial" w:hAnsi="Verdana" w:cs="Arial"/>
          <w:b/>
          <w:bCs/>
        </w:rPr>
        <w:t xml:space="preserve"> </w:t>
      </w:r>
    </w:p>
    <w:p w:rsidR="00DF7368" w:rsidRPr="00462DE0" w:rsidRDefault="00DF7368">
      <w:pPr>
        <w:ind w:left="280"/>
        <w:rPr>
          <w:rFonts w:ascii="Verdana" w:hAnsi="Verdana"/>
        </w:rPr>
      </w:pPr>
    </w:p>
    <w:p w:rsidR="00DF7368" w:rsidRPr="00462DE0" w:rsidRDefault="00DF7368">
      <w:pPr>
        <w:ind w:left="280"/>
        <w:rPr>
          <w:rFonts w:ascii="Verdana" w:hAnsi="Verdana"/>
        </w:rPr>
      </w:pPr>
      <w:r w:rsidRPr="00462DE0">
        <w:rPr>
          <w:rFonts w:ascii="Verdana" w:hAnsi="Verdana"/>
        </w:rPr>
        <w:t>14.</w:t>
      </w:r>
      <w:r w:rsidRPr="00462DE0">
        <w:rPr>
          <w:rFonts w:ascii="Verdana" w:hAnsi="Verdana"/>
        </w:rPr>
        <w:tab/>
      </w:r>
      <w:r w:rsidRPr="00462DE0">
        <w:rPr>
          <w:rFonts w:ascii="Verdana" w:hAnsi="Verdana"/>
        </w:rPr>
        <w:t>In case of any change in the number of IT equipment during the period of contract the same shall also be covered under the contract and no additional amount would be payable as the new IT equipment would be under the warranty period. The resident engineers would support the same in case of any complaint with respect to the IT equipment under warranty by raising complaint with the OEM support and co-ordinate with them for rectification of the problem.</w:t>
      </w:r>
    </w:p>
    <w:p w:rsidR="00DF7368" w:rsidRPr="00462DE0" w:rsidRDefault="00DF7368">
      <w:pPr>
        <w:ind w:left="280"/>
        <w:rPr>
          <w:rFonts w:ascii="Verdana" w:eastAsia="Arial" w:hAnsi="Verdana" w:cs="Arial"/>
          <w:b/>
          <w:bCs/>
        </w:rPr>
      </w:pPr>
    </w:p>
    <w:p w:rsidR="00DF7368" w:rsidRPr="00462DE0" w:rsidRDefault="00DF7368">
      <w:pPr>
        <w:ind w:left="280"/>
        <w:rPr>
          <w:rFonts w:ascii="Verdana" w:eastAsia="Arial" w:hAnsi="Verdana" w:cs="Arial"/>
          <w:b/>
          <w:bCs/>
        </w:rPr>
      </w:pPr>
      <w:r w:rsidRPr="00462DE0">
        <w:rPr>
          <w:rFonts w:ascii="Verdana" w:eastAsia="Arial" w:hAnsi="Verdana" w:cs="Arial"/>
          <w:b/>
          <w:bCs/>
        </w:rPr>
        <w:t>READ</w:t>
      </w:r>
      <w:r w:rsidRPr="00462DE0">
        <w:rPr>
          <w:rFonts w:ascii="Verdana" w:eastAsia="Arial" w:hAnsi="Verdana" w:cs="Arial"/>
          <w:b/>
          <w:bCs/>
        </w:rPr>
        <w:t xml:space="preserve"> </w:t>
      </w:r>
    </w:p>
    <w:p w:rsidR="00DF7368" w:rsidRPr="00462DE0" w:rsidRDefault="00DF7368">
      <w:pPr>
        <w:ind w:left="280"/>
        <w:rPr>
          <w:rFonts w:ascii="Verdana" w:hAnsi="Verdana"/>
        </w:rPr>
      </w:pPr>
    </w:p>
    <w:p w:rsidR="00DF7368" w:rsidRPr="00462DE0" w:rsidRDefault="00DF7368">
      <w:pPr>
        <w:ind w:left="280"/>
        <w:rPr>
          <w:rFonts w:ascii="Verdana" w:hAnsi="Verdana"/>
        </w:rPr>
      </w:pPr>
      <w:r w:rsidRPr="00462DE0">
        <w:rPr>
          <w:rFonts w:ascii="Verdana" w:hAnsi="Verdana"/>
        </w:rPr>
        <w:t>14.</w:t>
      </w:r>
      <w:r w:rsidRPr="00462DE0">
        <w:rPr>
          <w:rFonts w:ascii="Verdana" w:hAnsi="Verdana"/>
        </w:rPr>
        <w:tab/>
        <w:t>In case of any change in the number of IT equipment during the period of contract the same shall also be covered under the contract and no additional amount would be payable as the new IT equipment woul</w:t>
      </w:r>
      <w:r w:rsidRPr="00462DE0">
        <w:rPr>
          <w:rFonts w:ascii="Verdana" w:hAnsi="Verdana"/>
        </w:rPr>
        <w:t>d be under the warranty period.</w:t>
      </w:r>
    </w:p>
    <w:p w:rsidR="00A151F4" w:rsidRPr="00462DE0" w:rsidRDefault="00A151F4">
      <w:pPr>
        <w:spacing w:line="20" w:lineRule="exact"/>
        <w:rPr>
          <w:rFonts w:ascii="Verdana" w:hAnsi="Verdana"/>
        </w:rPr>
      </w:pPr>
    </w:p>
    <w:p w:rsidR="00A151F4" w:rsidRPr="00462DE0" w:rsidRDefault="00A151F4">
      <w:pPr>
        <w:spacing w:line="191" w:lineRule="exact"/>
        <w:rPr>
          <w:rFonts w:ascii="Verdana" w:hAnsi="Verdana"/>
        </w:rPr>
      </w:pPr>
    </w:p>
    <w:tbl>
      <w:tblPr>
        <w:tblW w:w="30" w:type="dxa"/>
        <w:tblInd w:w="10" w:type="dxa"/>
        <w:tblLayout w:type="fixed"/>
        <w:tblCellMar>
          <w:left w:w="0" w:type="dxa"/>
          <w:right w:w="0" w:type="dxa"/>
        </w:tblCellMar>
        <w:tblLook w:val="04A0" w:firstRow="1" w:lastRow="0" w:firstColumn="1" w:lastColumn="0" w:noHBand="0" w:noVBand="1"/>
      </w:tblPr>
      <w:tblGrid>
        <w:gridCol w:w="30"/>
      </w:tblGrid>
      <w:tr w:rsidR="00DF7368" w:rsidRPr="00462DE0" w:rsidTr="00DF7368">
        <w:trPr>
          <w:trHeight w:val="273"/>
        </w:trPr>
        <w:tc>
          <w:tcPr>
            <w:tcW w:w="30" w:type="dxa"/>
            <w:vAlign w:val="bottom"/>
          </w:tcPr>
          <w:p w:rsidR="00DF7368" w:rsidRPr="00462DE0" w:rsidRDefault="00DF7368">
            <w:pPr>
              <w:rPr>
                <w:rFonts w:ascii="Verdana" w:hAnsi="Verdana"/>
              </w:rPr>
            </w:pPr>
          </w:p>
        </w:tc>
      </w:tr>
    </w:tbl>
    <w:p w:rsidR="00424ACB" w:rsidRPr="00462DE0" w:rsidRDefault="00424ACB" w:rsidP="00424ACB">
      <w:pPr>
        <w:ind w:left="5760" w:firstLine="720"/>
        <w:jc w:val="both"/>
        <w:rPr>
          <w:rFonts w:ascii="Verdana" w:hAnsi="Verdana"/>
        </w:rPr>
      </w:pPr>
    </w:p>
    <w:p w:rsidR="00424ACB" w:rsidRPr="00462DE0" w:rsidRDefault="00424ACB" w:rsidP="00424ACB">
      <w:pPr>
        <w:ind w:left="5760" w:firstLine="720"/>
        <w:jc w:val="both"/>
        <w:rPr>
          <w:rFonts w:ascii="Verdana" w:hAnsi="Verdana"/>
        </w:rPr>
      </w:pPr>
    </w:p>
    <w:p w:rsidR="00424ACB" w:rsidRPr="00462DE0" w:rsidRDefault="00424ACB" w:rsidP="00424ACB">
      <w:pPr>
        <w:ind w:left="5760" w:firstLine="720"/>
        <w:jc w:val="both"/>
        <w:rPr>
          <w:rFonts w:ascii="Verdana" w:hAnsi="Verdana"/>
        </w:rPr>
      </w:pPr>
    </w:p>
    <w:p w:rsidR="00424ACB" w:rsidRPr="00462DE0" w:rsidRDefault="00D83880" w:rsidP="00424ACB">
      <w:pPr>
        <w:ind w:left="5760" w:firstLine="720"/>
        <w:jc w:val="both"/>
        <w:rPr>
          <w:rFonts w:ascii="Verdana" w:hAnsi="Verdana"/>
        </w:rPr>
      </w:pPr>
      <w:r>
        <w:rPr>
          <w:rFonts w:ascii="Verdana" w:hAnsi="Verdana"/>
        </w:rPr>
        <w:tab/>
      </w:r>
      <w:r>
        <w:rPr>
          <w:rFonts w:ascii="Verdana" w:hAnsi="Verdana"/>
        </w:rPr>
        <w:tab/>
      </w:r>
      <w:r w:rsidRPr="001F0E04">
        <w:rPr>
          <w:rFonts w:ascii="Verdana" w:hAnsi="Verdana"/>
        </w:rPr>
        <w:t>Sd/-</w:t>
      </w:r>
      <w:bookmarkStart w:id="1" w:name="_GoBack"/>
      <w:bookmarkEnd w:id="1"/>
    </w:p>
    <w:p w:rsidR="00424ACB" w:rsidRPr="00462DE0" w:rsidRDefault="00424ACB" w:rsidP="00424ACB">
      <w:pPr>
        <w:ind w:left="5760" w:firstLine="720"/>
        <w:jc w:val="both"/>
        <w:rPr>
          <w:rFonts w:ascii="Verdana" w:hAnsi="Verdana"/>
        </w:rPr>
      </w:pPr>
      <w:r w:rsidRPr="00462DE0">
        <w:rPr>
          <w:rFonts w:ascii="Verdana" w:hAnsi="Verdana"/>
        </w:rPr>
        <w:t xml:space="preserve">    </w:t>
      </w:r>
      <w:r w:rsidRPr="00462DE0">
        <w:rPr>
          <w:rFonts w:ascii="Verdana" w:hAnsi="Verdana"/>
        </w:rPr>
        <w:t>(</w:t>
      </w:r>
      <w:proofErr w:type="spellStart"/>
      <w:r w:rsidRPr="00462DE0">
        <w:rPr>
          <w:rFonts w:ascii="Verdana" w:hAnsi="Verdana"/>
        </w:rPr>
        <w:t>Dr.</w:t>
      </w:r>
      <w:proofErr w:type="spellEnd"/>
      <w:r w:rsidRPr="00462DE0">
        <w:rPr>
          <w:rFonts w:ascii="Verdana" w:hAnsi="Verdana"/>
        </w:rPr>
        <w:t xml:space="preserve"> R. </w:t>
      </w:r>
      <w:proofErr w:type="spellStart"/>
      <w:r w:rsidRPr="00462DE0">
        <w:rPr>
          <w:rFonts w:ascii="Verdana" w:hAnsi="Verdana"/>
        </w:rPr>
        <w:t>Santhosh</w:t>
      </w:r>
      <w:proofErr w:type="spellEnd"/>
      <w:r w:rsidRPr="00462DE0">
        <w:rPr>
          <w:rFonts w:ascii="Verdana" w:hAnsi="Verdana"/>
        </w:rPr>
        <w:t xml:space="preserve"> Kumar) </w:t>
      </w:r>
    </w:p>
    <w:p w:rsidR="00424ACB" w:rsidRPr="00462DE0" w:rsidRDefault="00424ACB" w:rsidP="00424ACB">
      <w:pPr>
        <w:jc w:val="both"/>
        <w:rPr>
          <w:rFonts w:ascii="Verdana" w:hAnsi="Verdana"/>
        </w:rPr>
      </w:pPr>
      <w:r w:rsidRPr="00462DE0">
        <w:rPr>
          <w:rFonts w:ascii="Verdana" w:hAnsi="Verdana"/>
        </w:rPr>
        <w:t xml:space="preserve"> </w:t>
      </w:r>
      <w:r w:rsidRPr="00462DE0">
        <w:rPr>
          <w:rFonts w:ascii="Verdana" w:hAnsi="Verdana"/>
        </w:rPr>
        <w:tab/>
      </w:r>
      <w:r w:rsidRPr="00462DE0">
        <w:rPr>
          <w:rFonts w:ascii="Verdana" w:hAnsi="Verdana"/>
        </w:rPr>
        <w:tab/>
      </w:r>
      <w:r w:rsidRPr="00462DE0">
        <w:rPr>
          <w:rFonts w:ascii="Verdana" w:hAnsi="Verdana"/>
        </w:rPr>
        <w:tab/>
      </w:r>
      <w:r w:rsidRPr="00462DE0">
        <w:rPr>
          <w:rFonts w:ascii="Verdana" w:hAnsi="Verdana"/>
        </w:rPr>
        <w:tab/>
      </w:r>
      <w:r w:rsidRPr="00462DE0">
        <w:rPr>
          <w:rFonts w:ascii="Verdana" w:hAnsi="Verdana"/>
        </w:rPr>
        <w:tab/>
      </w:r>
      <w:r w:rsidRPr="00462DE0">
        <w:rPr>
          <w:rFonts w:ascii="Verdana" w:hAnsi="Verdana"/>
        </w:rPr>
        <w:tab/>
      </w:r>
      <w:r w:rsidRPr="00462DE0">
        <w:rPr>
          <w:rFonts w:ascii="Verdana" w:hAnsi="Verdana"/>
        </w:rPr>
        <w:tab/>
      </w:r>
      <w:r w:rsidRPr="00462DE0">
        <w:rPr>
          <w:rFonts w:ascii="Verdana" w:hAnsi="Verdana"/>
        </w:rPr>
        <w:tab/>
      </w:r>
      <w:r w:rsidRPr="00462DE0">
        <w:rPr>
          <w:rFonts w:ascii="Verdana" w:hAnsi="Verdana"/>
        </w:rPr>
        <w:tab/>
      </w:r>
      <w:r w:rsidRPr="00462DE0">
        <w:rPr>
          <w:rFonts w:ascii="Verdana" w:hAnsi="Verdana"/>
        </w:rPr>
        <w:t xml:space="preserve">     </w:t>
      </w:r>
      <w:r w:rsidRPr="00462DE0">
        <w:rPr>
          <w:rFonts w:ascii="Verdana" w:hAnsi="Verdana"/>
        </w:rPr>
        <w:t xml:space="preserve">Assistant Commissioner                                                                       </w:t>
      </w:r>
    </w:p>
    <w:p w:rsidR="00424ACB" w:rsidRDefault="00424ACB" w:rsidP="00424ACB">
      <w:pPr>
        <w:rPr>
          <w:sz w:val="20"/>
          <w:szCs w:val="20"/>
        </w:rPr>
      </w:pPr>
      <w:r w:rsidRPr="00462DE0">
        <w:rPr>
          <w:rFonts w:ascii="Verdana" w:hAnsi="Verdana"/>
        </w:rPr>
        <w:t xml:space="preserve">                                                                                           Audit II Commissioner</w:t>
      </w:r>
    </w:p>
    <w:p w:rsidR="00424ACB" w:rsidRDefault="00424ACB">
      <w:pPr>
        <w:ind w:left="9840"/>
        <w:rPr>
          <w:sz w:val="20"/>
          <w:szCs w:val="20"/>
        </w:rPr>
      </w:pPr>
    </w:p>
    <w:sectPr w:rsidR="00424ACB">
      <w:type w:val="continuous"/>
      <w:pgSz w:w="12240" w:h="15840"/>
      <w:pgMar w:top="676" w:right="1200" w:bottom="240" w:left="1080" w:header="0" w:footer="0" w:gutter="0"/>
      <w:cols w:space="720" w:equalWidth="0">
        <w:col w:w="99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F90"/>
    <w:multiLevelType w:val="hybridMultilevel"/>
    <w:tmpl w:val="E9784768"/>
    <w:lvl w:ilvl="0" w:tplc="EF24C01A">
      <w:start w:val="1"/>
      <w:numFmt w:val="bullet"/>
      <w:lvlText w:val="2"/>
      <w:lvlJc w:val="left"/>
    </w:lvl>
    <w:lvl w:ilvl="1" w:tplc="5E069034">
      <w:numFmt w:val="decimal"/>
      <w:lvlText w:val=""/>
      <w:lvlJc w:val="left"/>
    </w:lvl>
    <w:lvl w:ilvl="2" w:tplc="B1D00D38">
      <w:numFmt w:val="decimal"/>
      <w:lvlText w:val=""/>
      <w:lvlJc w:val="left"/>
    </w:lvl>
    <w:lvl w:ilvl="3" w:tplc="64C43FC0">
      <w:numFmt w:val="decimal"/>
      <w:lvlText w:val=""/>
      <w:lvlJc w:val="left"/>
    </w:lvl>
    <w:lvl w:ilvl="4" w:tplc="22DEED44">
      <w:numFmt w:val="decimal"/>
      <w:lvlText w:val=""/>
      <w:lvlJc w:val="left"/>
    </w:lvl>
    <w:lvl w:ilvl="5" w:tplc="D00C1970">
      <w:numFmt w:val="decimal"/>
      <w:lvlText w:val=""/>
      <w:lvlJc w:val="left"/>
    </w:lvl>
    <w:lvl w:ilvl="6" w:tplc="1DAEDB74">
      <w:numFmt w:val="decimal"/>
      <w:lvlText w:val=""/>
      <w:lvlJc w:val="left"/>
    </w:lvl>
    <w:lvl w:ilvl="7" w:tplc="A784E766">
      <w:numFmt w:val="decimal"/>
      <w:lvlText w:val=""/>
      <w:lvlJc w:val="left"/>
    </w:lvl>
    <w:lvl w:ilvl="8" w:tplc="C79C46E0">
      <w:numFmt w:val="decimal"/>
      <w:lvlText w:val=""/>
      <w:lvlJc w:val="left"/>
    </w:lvl>
  </w:abstractNum>
  <w:abstractNum w:abstractNumId="1">
    <w:nsid w:val="00006952"/>
    <w:multiLevelType w:val="hybridMultilevel"/>
    <w:tmpl w:val="A7225F00"/>
    <w:lvl w:ilvl="0" w:tplc="FFC0F7F2">
      <w:start w:val="1"/>
      <w:numFmt w:val="bullet"/>
      <w:lvlText w:val="1"/>
      <w:lvlJc w:val="left"/>
    </w:lvl>
    <w:lvl w:ilvl="1" w:tplc="8FC4BDAE">
      <w:numFmt w:val="decimal"/>
      <w:lvlText w:val=""/>
      <w:lvlJc w:val="left"/>
    </w:lvl>
    <w:lvl w:ilvl="2" w:tplc="2BEAFE6C">
      <w:numFmt w:val="decimal"/>
      <w:lvlText w:val=""/>
      <w:lvlJc w:val="left"/>
    </w:lvl>
    <w:lvl w:ilvl="3" w:tplc="3F32CFF8">
      <w:numFmt w:val="decimal"/>
      <w:lvlText w:val=""/>
      <w:lvlJc w:val="left"/>
    </w:lvl>
    <w:lvl w:ilvl="4" w:tplc="082E12B6">
      <w:numFmt w:val="decimal"/>
      <w:lvlText w:val=""/>
      <w:lvlJc w:val="left"/>
    </w:lvl>
    <w:lvl w:ilvl="5" w:tplc="1F405556">
      <w:numFmt w:val="decimal"/>
      <w:lvlText w:val=""/>
      <w:lvlJc w:val="left"/>
    </w:lvl>
    <w:lvl w:ilvl="6" w:tplc="3B521DE0">
      <w:numFmt w:val="decimal"/>
      <w:lvlText w:val=""/>
      <w:lvlJc w:val="left"/>
    </w:lvl>
    <w:lvl w:ilvl="7" w:tplc="A328D480">
      <w:numFmt w:val="decimal"/>
      <w:lvlText w:val=""/>
      <w:lvlJc w:val="left"/>
    </w:lvl>
    <w:lvl w:ilvl="8" w:tplc="D58E5B7A">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1F4"/>
    <w:rsid w:val="00424ACB"/>
    <w:rsid w:val="00462DE0"/>
    <w:rsid w:val="007244BC"/>
    <w:rsid w:val="00A151F4"/>
    <w:rsid w:val="00D83880"/>
    <w:rsid w:val="00DF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SCN</cp:lastModifiedBy>
  <cp:revision>5</cp:revision>
  <dcterms:created xsi:type="dcterms:W3CDTF">2019-04-03T00:15:00Z</dcterms:created>
  <dcterms:modified xsi:type="dcterms:W3CDTF">2019-04-03T07:52:00Z</dcterms:modified>
</cp:coreProperties>
</file>